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contextualSpacing w:val="0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   </w:t>
      </w:r>
      <w:r w:rsidDel="00000000" w:rsidR="00000000" w:rsidRPr="00000000">
        <w:rPr>
          <w:rFonts w:ascii="Happy Monkey" w:cs="Happy Monkey" w:eastAsia="Happy Monkey" w:hAnsi="Happy Monkey"/>
          <w:b w:val="1"/>
          <w:sz w:val="24"/>
          <w:szCs w:val="24"/>
          <w:u w:val="single"/>
          <w:rtl w:val="0"/>
        </w:rPr>
        <w:t xml:space="preserve">Making the Most of Energy: Insulate It!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 LS Team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Crispin, Dedini, Haller, Hobba, Huschle, Stackhouse, Vack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Grade level(s):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6-8</w:t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tabs>
                <w:tab w:val="left" w:pos="2370"/>
              </w:tabs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# of lessons:     6         </w:t>
              <w:tab/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Natural Resources_____         Renewable Energy__X___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Big Idea – Student Learning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Energy efficiency is a key component in energy conservation and reducing carbon emissions.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Learning Targets – “I Can” Statements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 can . . .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define terms such as:  energy, heat, conduction, insulation, watt, KWh, and energy efficiency.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differences between renewable/nonrenewable energy sources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classify energy forms as kinetic or potential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understand that energy can not be created or destroyed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/>
            </w:pPr>
            <w:r w:rsidDel="00000000" w:rsidR="00000000" w:rsidRPr="00000000">
              <w:rPr>
                <w:color w:val="333333"/>
                <w:rtl w:val="0"/>
              </w:rPr>
              <w:t xml:space="preserve">Apply scientific principles to design, construct, and test a device that</w:t>
            </w:r>
            <w:r w:rsidDel="00000000" w:rsidR="00000000" w:rsidRPr="00000000">
              <w:rPr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333333"/>
                <w:rtl w:val="0"/>
              </w:rPr>
              <w:t xml:space="preserve">either minimizes or maximizes</w:t>
            </w:r>
            <w:r w:rsidDel="00000000" w:rsidR="00000000" w:rsidRPr="00000000">
              <w:rPr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color w:val="333333"/>
                <w:rtl w:val="0"/>
              </w:rPr>
              <w:t xml:space="preserve">thermal energy transfer.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Prior Knowledge: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Forms of energy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source of all energy</w:t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causes and effects of climate change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</w:tcPr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How are STEM integrated?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Science:   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Technology:  internet access for energy audit, create thermal image activity, 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Engineering:   Design &amp; construct thermos activity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Math:  Power percentages, graphing thermos data, watt/KWh conversions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Community/Place-based connections: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Students will connect the content to their energy use at school and at home  utilizing prop 39 data. 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will be some community benefits?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Students will share ideas about energy efficiency with the school community and their families, increasing knowledge about energy and promoting energy-conscious behavior and increased energy efficiency in the community.</w:t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STEM College/Career Connections: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Electrical engineering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Product design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Assessment: What evidence of learning will you gather across the module’s implementation?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Pre and post assessment, written assignments, worksheets, data tables, and graphs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General Outline of the Module: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Experience a “Period with no Power” and calculate power percentages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Investigate the science of energy with hands-on “Can You Work It” lab kits.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Analyze and energy audit of the school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Design and engineer a thermal container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Compare energy efficiency of light bulbs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thermal image of the classroom</w:t>
            </w:r>
          </w:p>
          <w:p w:rsidR="00000000" w:rsidDel="00000000" w:rsidP="00000000" w:rsidRDefault="00000000" w:rsidRPr="00000000">
            <w:pPr>
              <w:pBdr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/>
      </w:pPr>
      <w:r w:rsidDel="00000000" w:rsidR="00000000" w:rsidRPr="00000000">
        <w:rPr>
          <w:rtl w:val="0"/>
        </w:rPr>
      </w:r>
    </w:p>
    <w:sectPr>
      <w:headerReference r:id="rId5" w:type="default"/>
      <w:footerReference r:id="rId6" w:type="default"/>
      <w:pgSz w:h="12240" w:w="15840"/>
      <w:pgMar w:bottom="63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appy Monkey">
    <w:embedRegular w:fontKey="{00000000-0000-0000-0000-000000000000}" r:id="rId1" w:subsetted="0"/>
  </w:font>
  <w:font w:name="Helvetica Neue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  <w:font w:name="Trajan Pro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0" w:before="0" w:line="240" w:lineRule="auto"/>
      <w:contextualSpacing w:val="0"/>
      <w:jc w:val="right"/>
      <w:rPr>
        <w:rFonts w:ascii="Helvetica Neue" w:cs="Helvetica Neue" w:eastAsia="Helvetica Neue" w:hAnsi="Helvetica Neue"/>
        <w:b w:val="1"/>
        <w:sz w:val="20"/>
        <w:szCs w:val="20"/>
      </w:rPr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300" w:before="0" w:line="240" w:lineRule="auto"/>
      <w:contextualSpacing w:val="0"/>
      <w:jc w:val="right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0" w:before="720" w:line="240" w:lineRule="auto"/>
      <w:contextualSpacing w:val="0"/>
      <w:rPr>
        <w:rFonts w:ascii="Trajan Pro" w:cs="Trajan Pro" w:eastAsia="Trajan Pro" w:hAnsi="Trajan Pro"/>
        <w:b w:val="1"/>
        <w:sz w:val="40"/>
        <w:szCs w:val="40"/>
      </w:rPr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Module Overview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/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eader" Target="header1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appyMonkey-regular.ttf"/><Relationship Id="rId2" Type="http://schemas.openxmlformats.org/officeDocument/2006/relationships/font" Target="fonts/HelveticaNeue-regular.ttf"/><Relationship Id="rId3" Type="http://schemas.openxmlformats.org/officeDocument/2006/relationships/font" Target="fonts/HelveticaNeue-bold.ttf"/><Relationship Id="rId4" Type="http://schemas.openxmlformats.org/officeDocument/2006/relationships/font" Target="fonts/HelveticaNeue-italic.ttf"/><Relationship Id="rId5" Type="http://schemas.openxmlformats.org/officeDocument/2006/relationships/font" Target="fonts/HelveticaNeue-boldItalic.ttf"/></Relationships>
</file>